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14B5" w14:textId="1824C2F1" w:rsidR="0009204F" w:rsidRPr="0009204F" w:rsidRDefault="00CC417B" w:rsidP="0009204F">
      <w:pPr>
        <w:pStyle w:val="Title"/>
        <w:jc w:val="center"/>
        <w:rPr>
          <w:sz w:val="48"/>
          <w:szCs w:val="48"/>
        </w:rPr>
      </w:pPr>
      <w:r w:rsidRPr="0009204F">
        <w:rPr>
          <w:sz w:val="48"/>
          <w:szCs w:val="48"/>
        </w:rPr>
        <w:t xml:space="preserve">Guidance for </w:t>
      </w:r>
      <w:r w:rsidR="00DE6857" w:rsidRPr="0009204F">
        <w:rPr>
          <w:sz w:val="48"/>
          <w:szCs w:val="48"/>
        </w:rPr>
        <w:t xml:space="preserve">programme staff and trainees on including people with lived experience of </w:t>
      </w:r>
      <w:r w:rsidR="0009204F" w:rsidRPr="0009204F">
        <w:rPr>
          <w:sz w:val="48"/>
          <w:szCs w:val="48"/>
        </w:rPr>
        <w:t xml:space="preserve">health, mental </w:t>
      </w:r>
      <w:r w:rsidR="009A2E65" w:rsidRPr="0009204F">
        <w:rPr>
          <w:sz w:val="48"/>
          <w:szCs w:val="48"/>
        </w:rPr>
        <w:t>health,</w:t>
      </w:r>
      <w:r w:rsidR="0009204F" w:rsidRPr="0009204F">
        <w:rPr>
          <w:sz w:val="48"/>
          <w:szCs w:val="48"/>
        </w:rPr>
        <w:t xml:space="preserve"> and social inequalities in research.</w:t>
      </w:r>
    </w:p>
    <w:p w14:paraId="59BBD6B2" w14:textId="77777777" w:rsidR="0009204F" w:rsidRPr="0009204F" w:rsidRDefault="0009204F" w:rsidP="0009204F">
      <w:pPr>
        <w:pStyle w:val="Title"/>
        <w:jc w:val="center"/>
        <w:rPr>
          <w:sz w:val="48"/>
          <w:szCs w:val="48"/>
        </w:rPr>
      </w:pPr>
    </w:p>
    <w:p w14:paraId="11AC33F5" w14:textId="7544569E" w:rsidR="0000400F" w:rsidRPr="0035647E" w:rsidRDefault="0035647E" w:rsidP="0068086A">
      <w:pPr>
        <w:pStyle w:val="Heading1"/>
      </w:pPr>
      <w:r w:rsidRPr="0035647E">
        <w:t>P</w:t>
      </w:r>
      <w:r w:rsidR="00897561" w:rsidRPr="0035647E">
        <w:t xml:space="preserve">articipation in </w:t>
      </w:r>
      <w:r w:rsidR="00CF0E56">
        <w:t xml:space="preserve">Activities </w:t>
      </w:r>
      <w:r w:rsidR="001169FE">
        <w:t xml:space="preserve">with the Doctorate in Clinical Psychology Programme </w:t>
      </w:r>
    </w:p>
    <w:p w14:paraId="1652051D" w14:textId="77777777" w:rsidR="00897561" w:rsidRDefault="00897561"/>
    <w:p w14:paraId="7DE7C36F" w14:textId="77777777" w:rsidR="0035647E" w:rsidRPr="0068086A" w:rsidRDefault="0035647E">
      <w:pPr>
        <w:rPr>
          <w:rStyle w:val="IntenseReference"/>
        </w:rPr>
      </w:pPr>
      <w:r w:rsidRPr="0068086A">
        <w:rPr>
          <w:rStyle w:val="IntenseReference"/>
        </w:rPr>
        <w:t>Overview</w:t>
      </w:r>
    </w:p>
    <w:p w14:paraId="30D1DF7E" w14:textId="24219B13" w:rsidR="00927886" w:rsidRPr="00927886" w:rsidRDefault="00381AA1">
      <w:pPr>
        <w:rPr>
          <w:rFonts w:cstheme="minorHAnsi"/>
        </w:rPr>
      </w:pPr>
      <w:r>
        <w:t xml:space="preserve">The Doctorate in Clinical Psychology Training Programme at Lancaster University is </w:t>
      </w:r>
      <w:r w:rsidR="00897561">
        <w:t xml:space="preserve">committed to </w:t>
      </w:r>
      <w:r w:rsidR="00897561" w:rsidRPr="00927886">
        <w:rPr>
          <w:rFonts w:cstheme="minorHAnsi"/>
        </w:rPr>
        <w:t>involv</w:t>
      </w:r>
      <w:r w:rsidR="006C5759" w:rsidRPr="00927886">
        <w:rPr>
          <w:rFonts w:cstheme="minorHAnsi"/>
        </w:rPr>
        <w:t>ing</w:t>
      </w:r>
      <w:r w:rsidR="00897561" w:rsidRPr="00927886">
        <w:rPr>
          <w:rFonts w:cstheme="minorHAnsi"/>
        </w:rPr>
        <w:t xml:space="preserve"> </w:t>
      </w:r>
      <w:r w:rsidRPr="00927886">
        <w:rPr>
          <w:rFonts w:cstheme="minorHAnsi"/>
        </w:rPr>
        <w:t xml:space="preserve">the expertise and perspectives of </w:t>
      </w:r>
      <w:r w:rsidR="00897561" w:rsidRPr="00927886">
        <w:rPr>
          <w:rFonts w:cstheme="minorHAnsi"/>
        </w:rPr>
        <w:t xml:space="preserve">experts by experience </w:t>
      </w:r>
      <w:r w:rsidR="006240F2" w:rsidRPr="00927886">
        <w:rPr>
          <w:rFonts w:cstheme="minorHAnsi"/>
        </w:rPr>
        <w:t>in our programme</w:t>
      </w:r>
      <w:r w:rsidR="00897561" w:rsidRPr="00927886">
        <w:rPr>
          <w:rFonts w:cstheme="minorHAnsi"/>
        </w:rPr>
        <w:t>.</w:t>
      </w:r>
      <w:r w:rsidRPr="00927886">
        <w:rPr>
          <w:rFonts w:cstheme="minorHAnsi"/>
        </w:rPr>
        <w:t xml:space="preserve"> </w:t>
      </w:r>
      <w:r w:rsidR="001B0D47" w:rsidRPr="00927886">
        <w:rPr>
          <w:rFonts w:cstheme="minorHAnsi"/>
        </w:rPr>
        <w:t xml:space="preserve">We recommend </w:t>
      </w:r>
      <w:r w:rsidR="007555F8">
        <w:rPr>
          <w:rFonts w:cstheme="minorHAnsi"/>
        </w:rPr>
        <w:t xml:space="preserve">all members of the programme </w:t>
      </w:r>
      <w:r w:rsidR="00CC417B" w:rsidRPr="00927886">
        <w:rPr>
          <w:rFonts w:cstheme="minorHAnsi"/>
        </w:rPr>
        <w:t>familiarise</w:t>
      </w:r>
      <w:r w:rsidR="001B0D47" w:rsidRPr="00927886">
        <w:rPr>
          <w:rFonts w:cstheme="minorHAnsi"/>
        </w:rPr>
        <w:t xml:space="preserve"> themselves with important </w:t>
      </w:r>
      <w:r w:rsidR="00CC417B" w:rsidRPr="00927886">
        <w:rPr>
          <w:rFonts w:cstheme="minorHAnsi"/>
        </w:rPr>
        <w:t>frameworks in relation to supporting people take part in research, speci</w:t>
      </w:r>
      <w:r w:rsidR="00A54932">
        <w:rPr>
          <w:rFonts w:cstheme="minorHAnsi"/>
        </w:rPr>
        <w:t>fic</w:t>
      </w:r>
      <w:r w:rsidR="00CC417B" w:rsidRPr="00927886">
        <w:rPr>
          <w:rFonts w:cstheme="minorHAnsi"/>
        </w:rPr>
        <w:t xml:space="preserve">ally the </w:t>
      </w:r>
      <w:hyperlink r:id="rId10" w:history="1">
        <w:r w:rsidR="001B0D47" w:rsidRPr="00927886">
          <w:rPr>
            <w:rFonts w:cstheme="minorHAnsi"/>
            <w:color w:val="1A0DAB"/>
            <w:shd w:val="clear" w:color="auto" w:fill="FFFFFF"/>
          </w:rPr>
          <w:t>NIHR Race Equality Framework</w:t>
        </w:r>
        <w:r w:rsidR="00927886" w:rsidRPr="00927886">
          <w:rPr>
            <w:rFonts w:cstheme="minorHAnsi"/>
            <w:color w:val="1A0DAB"/>
            <w:shd w:val="clear" w:color="auto" w:fill="FFFFFF"/>
          </w:rPr>
          <w:t xml:space="preserve"> </w:t>
        </w:r>
      </w:hyperlink>
      <w:r w:rsidR="00927886" w:rsidRPr="00927886">
        <w:rPr>
          <w:rFonts w:cstheme="minorHAnsi"/>
        </w:rPr>
        <w:t xml:space="preserve">and </w:t>
      </w:r>
      <w:hyperlink r:id="rId11" w:history="1">
        <w:r w:rsidR="00927886" w:rsidRPr="00927886">
          <w:rPr>
            <w:rStyle w:val="Hyperlink"/>
            <w:rFonts w:cstheme="minorHAnsi"/>
            <w:u w:val="none"/>
            <w:bdr w:val="none" w:sz="0" w:space="0" w:color="auto" w:frame="1"/>
            <w:shd w:val="clear" w:color="auto" w:fill="FFFFFF"/>
          </w:rPr>
          <w:t>UK Standards for Public Involvement in Research</w:t>
        </w:r>
      </w:hyperlink>
      <w:r w:rsidR="00927886" w:rsidRPr="00927886">
        <w:rPr>
          <w:rFonts w:cstheme="minorHAnsi"/>
        </w:rPr>
        <w:t xml:space="preserve">. </w:t>
      </w:r>
    </w:p>
    <w:p w14:paraId="4809ECD3" w14:textId="77777777" w:rsidR="00927886" w:rsidRPr="00927886" w:rsidRDefault="00927886">
      <w:pPr>
        <w:rPr>
          <w:rFonts w:cstheme="minorHAnsi"/>
        </w:rPr>
      </w:pPr>
    </w:p>
    <w:p w14:paraId="7D9A56B8" w14:textId="3846FC92" w:rsidR="006240F2" w:rsidRDefault="006F6224">
      <w:pPr>
        <w:rPr>
          <w:rFonts w:cstheme="minorHAnsi"/>
        </w:rPr>
      </w:pPr>
      <w:r w:rsidRPr="00927886">
        <w:rPr>
          <w:rFonts w:cstheme="minorHAnsi"/>
        </w:rPr>
        <w:t xml:space="preserve">The </w:t>
      </w:r>
      <w:hyperlink r:id="rId12" w:history="1">
        <w:r w:rsidRPr="00927886">
          <w:rPr>
            <w:rFonts w:cstheme="minorHAnsi"/>
            <w:color w:val="1A0DAB"/>
            <w:shd w:val="clear" w:color="auto" w:fill="FFFFFF"/>
          </w:rPr>
          <w:t>Public Involvement Resource Hub of Imperial College London</w:t>
        </w:r>
        <w:r w:rsidR="000F4442" w:rsidRPr="00927886">
          <w:rPr>
            <w:rFonts w:cstheme="minorHAnsi"/>
            <w:color w:val="1A0DAB"/>
            <w:shd w:val="clear" w:color="auto" w:fill="FFFFFF"/>
          </w:rPr>
          <w:t xml:space="preserve"> </w:t>
        </w:r>
      </w:hyperlink>
      <w:r w:rsidR="000F4442" w:rsidRPr="00927886">
        <w:rPr>
          <w:rFonts w:cstheme="minorHAnsi"/>
        </w:rPr>
        <w:t>is</w:t>
      </w:r>
      <w:r w:rsidRPr="00927886">
        <w:rPr>
          <w:rFonts w:cstheme="minorHAnsi"/>
        </w:rPr>
        <w:t xml:space="preserve"> also an excellent resource</w:t>
      </w:r>
      <w:r w:rsidR="00924ED5" w:rsidRPr="00927886">
        <w:rPr>
          <w:rFonts w:cstheme="minorHAnsi"/>
        </w:rPr>
        <w:t xml:space="preserve"> for developing knowledge and skills in this area. Specifically in relation to mental health research, </w:t>
      </w:r>
      <w:r w:rsidR="00AD649E" w:rsidRPr="00927886">
        <w:rPr>
          <w:rFonts w:cstheme="minorHAnsi"/>
        </w:rPr>
        <w:t xml:space="preserve">this </w:t>
      </w:r>
      <w:r w:rsidR="00924ED5" w:rsidRPr="00927886">
        <w:rPr>
          <w:rFonts w:cstheme="minorHAnsi"/>
        </w:rPr>
        <w:t>page provide</w:t>
      </w:r>
      <w:r w:rsidR="00A54932">
        <w:rPr>
          <w:rFonts w:cstheme="minorHAnsi"/>
        </w:rPr>
        <w:t>s</w:t>
      </w:r>
      <w:r w:rsidR="00924ED5" w:rsidRPr="00927886">
        <w:rPr>
          <w:rFonts w:cstheme="minorHAnsi"/>
        </w:rPr>
        <w:t xml:space="preserve"> useful </w:t>
      </w:r>
      <w:r w:rsidR="00AD649E" w:rsidRPr="00927886">
        <w:rPr>
          <w:rFonts w:cstheme="minorHAnsi"/>
        </w:rPr>
        <w:t>resource</w:t>
      </w:r>
      <w:r w:rsidR="00924ED5" w:rsidRPr="00927886">
        <w:rPr>
          <w:rFonts w:cstheme="minorHAnsi"/>
        </w:rPr>
        <w:t>s</w:t>
      </w:r>
      <w:r w:rsidR="00AD649E" w:rsidRPr="00927886">
        <w:rPr>
          <w:rFonts w:cstheme="minorHAnsi"/>
        </w:rPr>
        <w:t xml:space="preserve">: </w:t>
      </w:r>
      <w:hyperlink r:id="rId13" w:history="1">
        <w:r w:rsidR="00AD649E" w:rsidRPr="00927886">
          <w:rPr>
            <w:rStyle w:val="Hyperlink"/>
            <w:rFonts w:cstheme="minorHAnsi"/>
            <w:u w:val="none"/>
          </w:rPr>
          <w:t>https://mentalhealthresearchmatters.org.uk/what-good-mental-health-research-look-like/inclusive-antiracist-research/</w:t>
        </w:r>
      </w:hyperlink>
      <w:r w:rsidR="00AD649E" w:rsidRPr="00AD649E">
        <w:rPr>
          <w:rFonts w:cstheme="minorHAnsi"/>
        </w:rPr>
        <w:t xml:space="preserve"> </w:t>
      </w:r>
    </w:p>
    <w:p w14:paraId="3BA5A699" w14:textId="77777777" w:rsidR="00A54932" w:rsidRPr="00AD649E" w:rsidRDefault="00A54932">
      <w:pPr>
        <w:rPr>
          <w:rFonts w:cstheme="minorHAnsi"/>
        </w:rPr>
      </w:pPr>
    </w:p>
    <w:p w14:paraId="6BB0F82D" w14:textId="77777777" w:rsidR="006240F2" w:rsidRPr="0068086A" w:rsidRDefault="006240F2">
      <w:pPr>
        <w:rPr>
          <w:rStyle w:val="IntenseReference"/>
        </w:rPr>
      </w:pPr>
      <w:r w:rsidRPr="0068086A">
        <w:rPr>
          <w:rStyle w:val="IntenseReference"/>
        </w:rPr>
        <w:t xml:space="preserve">Research Activities </w:t>
      </w:r>
    </w:p>
    <w:p w14:paraId="494854CD" w14:textId="31A8F995" w:rsidR="00381AA1" w:rsidRDefault="00381AA1">
      <w:r>
        <w:t>Trainees</w:t>
      </w:r>
      <w:r w:rsidR="006240F2">
        <w:t xml:space="preserve"> who wish to seek LUPIN support for their thesis projects</w:t>
      </w:r>
      <w:r>
        <w:t xml:space="preserve"> should discuss options with their supervisor early on in their </w:t>
      </w:r>
      <w:r w:rsidRPr="00D749CB">
        <w:rPr>
          <w:color w:val="000000" w:themeColor="text1"/>
        </w:rPr>
        <w:t xml:space="preserve">thesis development, drawing further upon national guidance, such as </w:t>
      </w:r>
      <w:r w:rsidR="00EE65A6" w:rsidRPr="00D749CB">
        <w:rPr>
          <w:color w:val="000000" w:themeColor="text1"/>
        </w:rPr>
        <w:t>the</w:t>
      </w:r>
      <w:r w:rsidR="00941F4F" w:rsidRPr="00D749CB">
        <w:rPr>
          <w:rStyle w:val="Hyperlink"/>
          <w:color w:val="000000" w:themeColor="text1"/>
          <w:u w:val="none"/>
        </w:rPr>
        <w:t xml:space="preserve"> aforementioned resources </w:t>
      </w:r>
      <w:r>
        <w:t xml:space="preserve">from </w:t>
      </w:r>
      <w:hyperlink r:id="rId14" w:history="1">
        <w:r w:rsidRPr="00381AA1">
          <w:rPr>
            <w:rStyle w:val="Hyperlink"/>
          </w:rPr>
          <w:t>NIHR</w:t>
        </w:r>
      </w:hyperlink>
      <w:r w:rsidR="00EE65A6">
        <w:rPr>
          <w:rStyle w:val="Hyperlink"/>
        </w:rPr>
        <w:t xml:space="preserve">. </w:t>
      </w:r>
      <w:r w:rsidR="004F147D">
        <w:t xml:space="preserve">Plans then need to be discussed </w:t>
      </w:r>
      <w:r w:rsidR="00F43330">
        <w:t>and agreed with Sarah Heard</w:t>
      </w:r>
      <w:r w:rsidR="00941F4F">
        <w:t>, Research Coordinator,</w:t>
      </w:r>
      <w:r w:rsidR="00F43330">
        <w:t xml:space="preserve"> prior to </w:t>
      </w:r>
      <w:proofErr w:type="gramStart"/>
      <w:r w:rsidR="00F43330">
        <w:t>making arrangements</w:t>
      </w:r>
      <w:proofErr w:type="gramEnd"/>
      <w:r w:rsidR="00F43330">
        <w:t xml:space="preserve"> with people for the purposes of </w:t>
      </w:r>
      <w:r w:rsidR="0089126E">
        <w:t xml:space="preserve">research support and consultation. </w:t>
      </w:r>
    </w:p>
    <w:p w14:paraId="5E66EE5D" w14:textId="77777777" w:rsidR="0089126E" w:rsidRPr="0089126E" w:rsidRDefault="0089126E">
      <w:pPr>
        <w:rPr>
          <w:b/>
          <w:bCs/>
        </w:rPr>
      </w:pPr>
    </w:p>
    <w:p w14:paraId="1D5941FF" w14:textId="7B300779" w:rsidR="0089126E" w:rsidRPr="0068086A" w:rsidRDefault="0089126E">
      <w:pPr>
        <w:rPr>
          <w:rStyle w:val="IntenseReference"/>
        </w:rPr>
      </w:pPr>
      <w:r w:rsidRPr="0068086A">
        <w:rPr>
          <w:rStyle w:val="IntenseReference"/>
        </w:rPr>
        <w:t>Payments</w:t>
      </w:r>
    </w:p>
    <w:p w14:paraId="3554D03B" w14:textId="4982B30E" w:rsidR="00C649B1" w:rsidRPr="00C649B1" w:rsidRDefault="00381AA1" w:rsidP="00687158">
      <w:r>
        <w:t xml:space="preserve">There are several ways in which </w:t>
      </w:r>
      <w:r w:rsidR="0055262D">
        <w:t xml:space="preserve">experts by experience </w:t>
      </w:r>
      <w:r>
        <w:t>can be remunerated for their involvement and contribution. F</w:t>
      </w:r>
      <w:r w:rsidR="00897561">
        <w:t xml:space="preserve">unding must be approved by the Research Director </w:t>
      </w:r>
      <w:r w:rsidR="006C5759">
        <w:t>before you</w:t>
      </w:r>
      <w:r>
        <w:t xml:space="preserve"> finalise </w:t>
      </w:r>
      <w:r w:rsidR="00022805">
        <w:t xml:space="preserve">planning </w:t>
      </w:r>
      <w:r>
        <w:t xml:space="preserve">in relation to </w:t>
      </w:r>
      <w:r w:rsidR="00022805">
        <w:t>the giving of</w:t>
      </w:r>
      <w:r w:rsidR="00897561">
        <w:t xml:space="preserve"> such payments or gifts.</w:t>
      </w:r>
      <w:r>
        <w:t xml:space="preserve"> </w:t>
      </w:r>
      <w:r w:rsidR="00A5002A">
        <w:t>Payments can be made through</w:t>
      </w:r>
      <w:r w:rsidR="00555514">
        <w:t xml:space="preserve"> (1)</w:t>
      </w:r>
      <w:r w:rsidR="00A5002A">
        <w:t xml:space="preserve"> engagement contracts for members</w:t>
      </w:r>
      <w:r w:rsidR="00564712">
        <w:t>,</w:t>
      </w:r>
      <w:r w:rsidR="00A5002A">
        <w:t xml:space="preserve"> </w:t>
      </w:r>
      <w:r w:rsidR="00555514">
        <w:t xml:space="preserve">(2) </w:t>
      </w:r>
      <w:r w:rsidR="00A5002A">
        <w:t xml:space="preserve">payment vouchers </w:t>
      </w:r>
      <w:r w:rsidR="004036D5">
        <w:t>processed through the university finance team</w:t>
      </w:r>
      <w:r w:rsidR="00564712">
        <w:t>,</w:t>
      </w:r>
      <w:r w:rsidR="00555514">
        <w:t xml:space="preserve"> (3)</w:t>
      </w:r>
      <w:r w:rsidR="00564712">
        <w:t xml:space="preserve"> </w:t>
      </w:r>
      <w:r w:rsidR="004036D5">
        <w:t>‘thank you’ store</w:t>
      </w:r>
      <w:r w:rsidR="00564712">
        <w:t xml:space="preserve"> vouchers</w:t>
      </w:r>
      <w:r w:rsidR="00D47644">
        <w:t xml:space="preserve">, or (4) payment by invoice if the stakeholder is already established </w:t>
      </w:r>
      <w:r w:rsidR="00C649B1">
        <w:t>in a consultancy role</w:t>
      </w:r>
      <w:r w:rsidR="00A5002A">
        <w:t xml:space="preserve">. </w:t>
      </w:r>
      <w:r w:rsidR="00560A00">
        <w:t>Sarah Heard will need</w:t>
      </w:r>
      <w:r w:rsidR="00A4007C">
        <w:t xml:space="preserve"> </w:t>
      </w:r>
      <w:r w:rsidR="00C649B1">
        <w:t xml:space="preserve">to be told about the planned activities at least one month prior to their occurrence to </w:t>
      </w:r>
      <w:r w:rsidR="00E367EE">
        <w:t>ensure</w:t>
      </w:r>
      <w:r w:rsidR="00C649B1">
        <w:t xml:space="preserve"> a suitable payment option </w:t>
      </w:r>
      <w:r w:rsidR="00E367EE">
        <w:t xml:space="preserve">can be put </w:t>
      </w:r>
      <w:r w:rsidR="00C649B1">
        <w:t xml:space="preserve">in place. </w:t>
      </w:r>
    </w:p>
    <w:p w14:paraId="5810D016" w14:textId="77777777" w:rsidR="00C649B1" w:rsidRDefault="00C649B1" w:rsidP="00687158">
      <w:pPr>
        <w:rPr>
          <w:rStyle w:val="IntenseReference"/>
        </w:rPr>
      </w:pPr>
      <w:r>
        <w:rPr>
          <w:rStyle w:val="IntenseReference"/>
        </w:rPr>
        <w:br/>
      </w:r>
    </w:p>
    <w:p w14:paraId="44701C98" w14:textId="277BEBC6" w:rsidR="00DC017B" w:rsidRPr="0068086A" w:rsidRDefault="00DC017B" w:rsidP="00687158">
      <w:pPr>
        <w:rPr>
          <w:rStyle w:val="IntenseReference"/>
        </w:rPr>
      </w:pPr>
      <w:r w:rsidRPr="0068086A">
        <w:rPr>
          <w:rStyle w:val="IntenseReference"/>
        </w:rPr>
        <w:lastRenderedPageBreak/>
        <w:t xml:space="preserve">Remuneration Payments </w:t>
      </w:r>
    </w:p>
    <w:p w14:paraId="76EA2020" w14:textId="48A09F02" w:rsidR="00381AA1" w:rsidRDefault="00381AA1" w:rsidP="0068715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The NIHR sets out the following rates for honorarium payments, which can be used as a guide for planning and supervision discussions: </w:t>
      </w:r>
    </w:p>
    <w:p w14:paraId="0EDF5BCC" w14:textId="77777777" w:rsidR="00381AA1" w:rsidRDefault="00381AA1" w:rsidP="00381AA1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£12.50 - For involvement in a task or activity such as reading and commenting on an abstract which equates to less than half an hour. For example, reviewing papers for the development of Alerts.</w:t>
      </w:r>
    </w:p>
    <w:p w14:paraId="29D15171" w14:textId="77777777" w:rsidR="00381AA1" w:rsidRDefault="00381AA1" w:rsidP="00381AA1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£25 - For involvement in a task or activity requiring little or no preparation and which equates to approximately one hour of activity or less. For example, participating in a focus group to provide feedback on a proposal.</w:t>
      </w:r>
    </w:p>
    <w:p w14:paraId="5E2E1598" w14:textId="77777777" w:rsidR="00381AA1" w:rsidRDefault="00381AA1" w:rsidP="00381AA1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£50 - For involvement in a task or activity likely to require some preparation and which equates to approximately two hours of activity. For example, a teleconference with related papers to read or review a few short documents.</w:t>
      </w:r>
    </w:p>
    <w:p w14:paraId="28FF553E" w14:textId="77777777" w:rsidR="00381AA1" w:rsidRDefault="00381AA1" w:rsidP="00381AA1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£75 - For involvement in a task or activity where preparation is required and which equates to approximately half a day’s activity. For example, participating in a meeting to interview a small number of candidates who have applied to join a committee or panel, participating in a focus group, or delivering training.</w:t>
      </w:r>
    </w:p>
    <w:p w14:paraId="6675EA03" w14:textId="77777777" w:rsidR="00381AA1" w:rsidRDefault="00381AA1" w:rsidP="00381AA1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£150 - For involvement in all-day meetings. For example, attending a committee or panel meeting as an observer prior to becoming an active public member of a committee/panel.</w:t>
      </w:r>
    </w:p>
    <w:p w14:paraId="017271CE" w14:textId="7C4D587C" w:rsidR="00897561" w:rsidRDefault="00381AA1" w:rsidP="006572AF">
      <w:pPr>
        <w:textAlignment w:val="baseline"/>
      </w:pPr>
      <w:r>
        <w:rPr>
          <w:rFonts w:ascii="Calibri" w:hAnsi="Calibri" w:cs="Calibri"/>
          <w:color w:val="000000"/>
        </w:rPr>
        <w:t xml:space="preserve">£300 - </w:t>
      </w:r>
      <w:r>
        <w:rPr>
          <w:rFonts w:ascii="Calibri" w:hAnsi="Calibri" w:cs="Calibri"/>
          <w:color w:val="000000"/>
          <w:shd w:val="clear" w:color="auto" w:fill="FFFFFF"/>
        </w:rPr>
        <w:t>For involvement in all-day meetings that require substantial preparation. For example, when chairing or co-chairing a meeting or when carrying out other discretionary work, which requires additional responsibilities.</w:t>
      </w:r>
    </w:p>
    <w:p w14:paraId="34411EF0" w14:textId="77777777" w:rsidR="0035647E" w:rsidRDefault="0035647E" w:rsidP="0068086A">
      <w:pPr>
        <w:pStyle w:val="Heading2"/>
      </w:pPr>
    </w:p>
    <w:p w14:paraId="4E20CE88" w14:textId="374D6022" w:rsidR="0035647E" w:rsidRPr="0035647E" w:rsidRDefault="0035647E" w:rsidP="0068086A">
      <w:pPr>
        <w:pStyle w:val="Heading2"/>
      </w:pPr>
      <w:r w:rsidRPr="0035647E">
        <w:t xml:space="preserve">Guidance for </w:t>
      </w:r>
      <w:r w:rsidR="006D24CC">
        <w:t xml:space="preserve">involving LUPIN members and volunteers in </w:t>
      </w:r>
      <w:r w:rsidR="0068086A">
        <w:t>research.</w:t>
      </w:r>
      <w:r w:rsidR="006D24CC">
        <w:t xml:space="preserve"> </w:t>
      </w:r>
    </w:p>
    <w:p w14:paraId="20FD5EFF" w14:textId="31D15375" w:rsidR="002F3597" w:rsidRDefault="006A7533">
      <w:pPr>
        <w:rPr>
          <w:rStyle w:val="IntenseReference"/>
        </w:rPr>
      </w:pPr>
      <w:r>
        <w:t xml:space="preserve">The </w:t>
      </w:r>
      <w:r w:rsidRPr="00675D72">
        <w:t>Lancaster University Public Involvement Network (</w:t>
      </w:r>
      <w:hyperlink r:id="rId15" w:history="1">
        <w:r w:rsidRPr="00185175">
          <w:rPr>
            <w:rStyle w:val="Hyperlink"/>
          </w:rPr>
          <w:t>LUPIN</w:t>
        </w:r>
      </w:hyperlink>
      <w:r w:rsidRPr="00675D72">
        <w:t xml:space="preserve">) </w:t>
      </w:r>
      <w:r w:rsidR="00796691">
        <w:t>is a group of</w:t>
      </w:r>
      <w:r>
        <w:t xml:space="preserve"> people with direct and indirect experience of accessing services, who have an interest in contributing towards clinical training. Members and volunteers within LUPIN are often able to offer valuable </w:t>
      </w:r>
      <w:r w:rsidR="00796691">
        <w:t>advice</w:t>
      </w:r>
      <w:r>
        <w:t xml:space="preserve"> and perspectives on research matters for trainees. However, you can also liaise with a range of external </w:t>
      </w:r>
      <w:r w:rsidRPr="006A7533">
        <w:t>Voluntary</w:t>
      </w:r>
      <w:r w:rsidR="00796691">
        <w:t>,</w:t>
      </w:r>
      <w:r w:rsidRPr="006A7533">
        <w:t xml:space="preserve"> Community and Social Enterprise (VCSE)</w:t>
      </w:r>
      <w:r w:rsidR="00796691">
        <w:t xml:space="preserve"> groups</w:t>
      </w:r>
      <w:r>
        <w:t xml:space="preserve">, relevant to your topic. The guidance in this document usually applies to external stakeholders as well as </w:t>
      </w:r>
      <w:r w:rsidR="00796691">
        <w:t>programme-based</w:t>
      </w:r>
      <w:r>
        <w:t xml:space="preserve"> resources. Please discuss details pertaining to your specific study with your supervisor</w:t>
      </w:r>
      <w:r w:rsidR="00796691">
        <w:t xml:space="preserve"> in the first instance</w:t>
      </w:r>
      <w:r>
        <w:t>.</w:t>
      </w:r>
    </w:p>
    <w:p w14:paraId="07B63BAB" w14:textId="77777777" w:rsidR="00796691" w:rsidRDefault="00796691">
      <w:pPr>
        <w:rPr>
          <w:rStyle w:val="IntenseReference"/>
        </w:rPr>
      </w:pPr>
    </w:p>
    <w:p w14:paraId="4C650BB7" w14:textId="467B6A9F" w:rsidR="0054388C" w:rsidRPr="0068086A" w:rsidRDefault="0054388C">
      <w:pPr>
        <w:rPr>
          <w:rStyle w:val="IntenseReference"/>
        </w:rPr>
      </w:pPr>
      <w:r w:rsidRPr="0068086A">
        <w:rPr>
          <w:rStyle w:val="IntenseReference"/>
        </w:rPr>
        <w:t>Engagement Contracts for Members</w:t>
      </w:r>
    </w:p>
    <w:p w14:paraId="5543DDC6" w14:textId="4161CF0E" w:rsidR="0054388C" w:rsidRDefault="00897561">
      <w:r>
        <w:t xml:space="preserve">If the </w:t>
      </w:r>
      <w:r w:rsidR="00381AA1">
        <w:t xml:space="preserve">person with lived experience </w:t>
      </w:r>
      <w:r>
        <w:t>is going to be paid directly for their time</w:t>
      </w:r>
      <w:r w:rsidR="00381AA1">
        <w:t>,</w:t>
      </w:r>
      <w:r>
        <w:t xml:space="preserve"> this </w:t>
      </w:r>
      <w:r w:rsidR="00381AA1">
        <w:t xml:space="preserve">payment </w:t>
      </w:r>
      <w:r>
        <w:t xml:space="preserve">must be </w:t>
      </w:r>
      <w:r w:rsidR="00381AA1">
        <w:t>made through</w:t>
      </w:r>
      <w:r>
        <w:t xml:space="preserve"> an engagement contract</w:t>
      </w:r>
      <w:r w:rsidR="006C5759">
        <w:t xml:space="preserve"> (arranged through </w:t>
      </w:r>
      <w:r w:rsidR="00DC017B">
        <w:t xml:space="preserve">Sarah Heard, </w:t>
      </w:r>
      <w:r w:rsidR="006C5759">
        <w:t xml:space="preserve">Research </w:t>
      </w:r>
      <w:r w:rsidR="004C6272">
        <w:t>C</w:t>
      </w:r>
      <w:r w:rsidR="006C5759">
        <w:t>oordinator)</w:t>
      </w:r>
      <w:r>
        <w:t>.</w:t>
      </w:r>
      <w:r w:rsidR="00381AA1">
        <w:t xml:space="preserve"> You should therefore discuss this arrangement with Sarah Heard once you have obtained approval from the Research Director.</w:t>
      </w:r>
      <w:r w:rsidR="000639CD">
        <w:t xml:space="preserve"> This conversation should take place at least one month before the consultation meeting occurs to ensure there is sufficient time for the contract to be put in place.</w:t>
      </w:r>
      <w:r>
        <w:t xml:space="preserve"> Th</w:t>
      </w:r>
      <w:r w:rsidR="00381AA1">
        <w:t xml:space="preserve">e contract </w:t>
      </w:r>
      <w:r>
        <w:t>must</w:t>
      </w:r>
      <w:r w:rsidR="000639CD">
        <w:t xml:space="preserve"> then</w:t>
      </w:r>
      <w:r>
        <w:t xml:space="preserve"> be completed as soon as </w:t>
      </w:r>
      <w:r w:rsidR="0055262D">
        <w:t xml:space="preserve">the person you have invited to be involved </w:t>
      </w:r>
      <w:r>
        <w:t>agrees to be paid in this way</w:t>
      </w:r>
      <w:r w:rsidR="00381AA1">
        <w:t>,</w:t>
      </w:r>
      <w:r>
        <w:t xml:space="preserve"> so that the paperwork can be processed in time</w:t>
      </w:r>
      <w:r w:rsidR="00381AA1">
        <w:t xml:space="preserve">. Please note, </w:t>
      </w:r>
      <w:r w:rsidR="000639CD">
        <w:t xml:space="preserve">as </w:t>
      </w:r>
      <w:r w:rsidR="006C5759">
        <w:t>it can take up to a month for this to be done</w:t>
      </w:r>
      <w:r w:rsidR="000639CD">
        <w:t>,</w:t>
      </w:r>
      <w:r w:rsidR="00381AA1">
        <w:t xml:space="preserve"> you should inform people of this likely timeline</w:t>
      </w:r>
      <w:r>
        <w:t>.</w:t>
      </w:r>
      <w:r w:rsidR="006C5759">
        <w:t xml:space="preserve"> </w:t>
      </w:r>
      <w:r w:rsidR="00381AA1">
        <w:t xml:space="preserve">It is also essential that the person engaging with the contract has an email address, which should be checked beforehand. </w:t>
      </w:r>
    </w:p>
    <w:p w14:paraId="61A408F1" w14:textId="1E115866" w:rsidR="00897561" w:rsidRDefault="00897561">
      <w:r>
        <w:lastRenderedPageBreak/>
        <w:t xml:space="preserve">The contract </w:t>
      </w:r>
      <w:r>
        <w:rPr>
          <w:b/>
          <w:bCs/>
        </w:rPr>
        <w:t xml:space="preserve">must </w:t>
      </w:r>
      <w:r>
        <w:t xml:space="preserve">be in place </w:t>
      </w:r>
      <w:r>
        <w:rPr>
          <w:b/>
          <w:bCs/>
        </w:rPr>
        <w:t xml:space="preserve">before </w:t>
      </w:r>
      <w:r>
        <w:t xml:space="preserve">the work is conducted. If payment is made </w:t>
      </w:r>
      <w:r w:rsidR="000639CD">
        <w:rPr>
          <w:rFonts w:ascii="Calibri" w:hAnsi="Calibri" w:cs="Calibri"/>
          <w:color w:val="242424"/>
          <w:shd w:val="clear" w:color="auto" w:fill="FFFFFF"/>
        </w:rPr>
        <w:t>through and engagement contract, the</w:t>
      </w:r>
      <w:r w:rsidR="006313E3">
        <w:rPr>
          <w:rFonts w:ascii="Calibri" w:hAnsi="Calibri" w:cs="Calibri"/>
          <w:color w:val="242424"/>
          <w:shd w:val="clear" w:color="auto" w:fill="FFFFFF"/>
        </w:rPr>
        <w:t xml:space="preserve"> recipient </w:t>
      </w:r>
      <w:r w:rsidR="000639CD">
        <w:rPr>
          <w:rFonts w:ascii="Calibri" w:hAnsi="Calibri" w:cs="Calibri"/>
          <w:color w:val="242424"/>
          <w:shd w:val="clear" w:color="auto" w:fill="FFFFFF"/>
        </w:rPr>
        <w:t>do</w:t>
      </w:r>
      <w:r w:rsidR="006313E3">
        <w:rPr>
          <w:rFonts w:ascii="Calibri" w:hAnsi="Calibri" w:cs="Calibri"/>
          <w:color w:val="242424"/>
          <w:shd w:val="clear" w:color="auto" w:fill="FFFFFF"/>
        </w:rPr>
        <w:t>es</w:t>
      </w:r>
      <w:r w:rsidR="000639CD">
        <w:rPr>
          <w:rFonts w:ascii="Calibri" w:hAnsi="Calibri" w:cs="Calibri"/>
          <w:color w:val="242424"/>
          <w:shd w:val="clear" w:color="auto" w:fill="FFFFFF"/>
        </w:rPr>
        <w:t xml:space="preserve"> not have to undertake </w:t>
      </w:r>
      <w:r w:rsidR="006313E3">
        <w:rPr>
          <w:rFonts w:ascii="Calibri" w:hAnsi="Calibri" w:cs="Calibri"/>
          <w:color w:val="242424"/>
          <w:shd w:val="clear" w:color="auto" w:fill="FFFFFF"/>
        </w:rPr>
        <w:t xml:space="preserve">a </w:t>
      </w:r>
      <w:r w:rsidR="000639CD">
        <w:rPr>
          <w:rFonts w:ascii="Calibri" w:hAnsi="Calibri" w:cs="Calibri"/>
          <w:color w:val="242424"/>
          <w:shd w:val="clear" w:color="auto" w:fill="FFFFFF"/>
        </w:rPr>
        <w:t>Self-Assessment as the university processes tax through PAYE. However, if payment is made via invoice, the payee is required to declare this payment to HMRC.</w:t>
      </w:r>
      <w:r w:rsidR="000639CD">
        <w:t xml:space="preserve"> </w:t>
      </w:r>
      <w:r w:rsidR="006313E3">
        <w:t xml:space="preserve">Although it is </w:t>
      </w:r>
      <w:r w:rsidR="00C762E0">
        <w:t>unlikely</w:t>
      </w:r>
      <w:r w:rsidR="006313E3">
        <w:t xml:space="preserve"> </w:t>
      </w:r>
      <w:r w:rsidR="00C762E0">
        <w:t>stakeholders will ask you about these financial implications, p</w:t>
      </w:r>
      <w:r w:rsidR="0055262D">
        <w:t xml:space="preserve">lease refer people to </w:t>
      </w:r>
      <w:hyperlink r:id="rId16" w:history="1">
        <w:r w:rsidR="0055262D" w:rsidRPr="0055262D">
          <w:rPr>
            <w:rStyle w:val="Hyperlink"/>
          </w:rPr>
          <w:t>HMRC</w:t>
        </w:r>
      </w:hyperlink>
      <w:r w:rsidR="0055262D">
        <w:t xml:space="preserve"> </w:t>
      </w:r>
      <w:r w:rsidR="004C1ECA">
        <w:t xml:space="preserve">or the </w:t>
      </w:r>
      <w:r w:rsidR="004C1ECA" w:rsidRPr="004C1ECA">
        <w:t xml:space="preserve">Citizens Advice consumer helpline </w:t>
      </w:r>
      <w:r w:rsidR="004C1ECA">
        <w:t>(</w:t>
      </w:r>
      <w:r w:rsidR="004C1ECA" w:rsidRPr="004C1ECA">
        <w:t>0808 223 1133</w:t>
      </w:r>
      <w:r w:rsidR="004C1ECA">
        <w:t xml:space="preserve">) </w:t>
      </w:r>
      <w:r w:rsidR="0055262D">
        <w:t>if they have queries</w:t>
      </w:r>
      <w:r w:rsidR="00513327">
        <w:t>;</w:t>
      </w:r>
      <w:r w:rsidR="0055262D">
        <w:t xml:space="preserve"> do not attempt to provide financial advice yourself. </w:t>
      </w:r>
    </w:p>
    <w:p w14:paraId="66D1F6AF" w14:textId="6CF3866F" w:rsidR="0035647E" w:rsidRPr="0035647E" w:rsidRDefault="0035647E">
      <w:pPr>
        <w:rPr>
          <w:b/>
          <w:u w:val="single"/>
        </w:rPr>
      </w:pPr>
    </w:p>
    <w:p w14:paraId="557947AF" w14:textId="00A8D6DB" w:rsidR="0035647E" w:rsidRPr="0068086A" w:rsidRDefault="0054388C">
      <w:pPr>
        <w:rPr>
          <w:rStyle w:val="IntenseReference"/>
        </w:rPr>
      </w:pPr>
      <w:r w:rsidRPr="0068086A">
        <w:rPr>
          <w:rStyle w:val="IntenseReference"/>
        </w:rPr>
        <w:t xml:space="preserve">Payment Vouchers for </w:t>
      </w:r>
      <w:r w:rsidR="0035647E" w:rsidRPr="0068086A">
        <w:rPr>
          <w:rStyle w:val="IntenseReference"/>
        </w:rPr>
        <w:t xml:space="preserve">LUPIN </w:t>
      </w:r>
      <w:r w:rsidR="005D286C" w:rsidRPr="0068086A">
        <w:rPr>
          <w:rStyle w:val="IntenseReference"/>
        </w:rPr>
        <w:t>V</w:t>
      </w:r>
      <w:r w:rsidR="0035647E" w:rsidRPr="0068086A">
        <w:rPr>
          <w:rStyle w:val="IntenseReference"/>
        </w:rPr>
        <w:t xml:space="preserve">olunteers </w:t>
      </w:r>
    </w:p>
    <w:p w14:paraId="2AB7D5B3" w14:textId="46D96306" w:rsidR="00E5322B" w:rsidRDefault="00513327">
      <w:r>
        <w:t xml:space="preserve">Whilst LUPIN Members are usually involved in several aspects of the programme, LUPIN Volunteers offer their time on an occasional and flexible </w:t>
      </w:r>
      <w:proofErr w:type="gramStart"/>
      <w:r>
        <w:t>basis, and</w:t>
      </w:r>
      <w:proofErr w:type="gramEnd"/>
      <w:r>
        <w:t xml:space="preserve"> are therefore unlikely to hold an engagement contract with the university. </w:t>
      </w:r>
      <w:r w:rsidR="00897561">
        <w:t>There</w:t>
      </w:r>
      <w:r w:rsidR="001469E0">
        <w:t xml:space="preserve">fore, it is often appropriate to pay </w:t>
      </w:r>
      <w:r w:rsidR="00897561">
        <w:t>out of pocket expenses</w:t>
      </w:r>
      <w:r w:rsidR="00E5322B">
        <w:t>,</w:t>
      </w:r>
      <w:r w:rsidR="00897561">
        <w:t xml:space="preserve"> unexpected </w:t>
      </w:r>
      <w:r w:rsidR="0055262D">
        <w:t>‘</w:t>
      </w:r>
      <w:r w:rsidR="00897561">
        <w:t>thank you</w:t>
      </w:r>
      <w:r w:rsidR="0055262D">
        <w:t>’</w:t>
      </w:r>
      <w:r w:rsidR="00897561">
        <w:t xml:space="preserve"> gifts</w:t>
      </w:r>
      <w:r w:rsidR="0055262D">
        <w:t xml:space="preserve"> in recognition of a contribution</w:t>
      </w:r>
      <w:r w:rsidR="00E5322B">
        <w:t>, or a cash payment voucher processed through the university finance team</w:t>
      </w:r>
      <w:r w:rsidR="00897561">
        <w:t xml:space="preserve">. </w:t>
      </w:r>
      <w:r w:rsidR="00F626DB">
        <w:t>To make payment in this way, the stakeholder would need to complete the fees expenses form.</w:t>
      </w:r>
    </w:p>
    <w:p w14:paraId="302AEBC1" w14:textId="77777777" w:rsidR="00E5322B" w:rsidRDefault="00897561" w:rsidP="00E5322B">
      <w:pPr>
        <w:pStyle w:val="ListParagraph"/>
        <w:numPr>
          <w:ilvl w:val="0"/>
          <w:numId w:val="1"/>
        </w:numPr>
      </w:pPr>
      <w:r>
        <w:t xml:space="preserve">Out of pocket expenses can be paid for things such as childcare, carer time or electricity if meetings are remote. </w:t>
      </w:r>
    </w:p>
    <w:p w14:paraId="005232E6" w14:textId="77777777" w:rsidR="00E5322B" w:rsidRDefault="0055262D" w:rsidP="00E5322B">
      <w:pPr>
        <w:pStyle w:val="ListParagraph"/>
        <w:numPr>
          <w:ilvl w:val="0"/>
          <w:numId w:val="1"/>
        </w:numPr>
      </w:pPr>
      <w:r>
        <w:t xml:space="preserve">Out of pocket expenses </w:t>
      </w:r>
      <w:r w:rsidR="00897561">
        <w:t xml:space="preserve">can also be used for travel. </w:t>
      </w:r>
    </w:p>
    <w:p w14:paraId="3779376D" w14:textId="77777777" w:rsidR="00E5322B" w:rsidRDefault="00E5322B" w:rsidP="00E5322B">
      <w:pPr>
        <w:pStyle w:val="ListParagraph"/>
      </w:pPr>
    </w:p>
    <w:p w14:paraId="2C5CE582" w14:textId="77777777" w:rsidR="00056E6C" w:rsidRDefault="00307229" w:rsidP="00056E6C">
      <w:pPr>
        <w:pStyle w:val="ListParagraph"/>
        <w:ind w:left="0"/>
        <w:rPr>
          <w:bCs/>
        </w:rPr>
      </w:pPr>
      <w:r>
        <w:t>Please discuss your plans with your supervisor and the Research Coordinator before making</w:t>
      </w:r>
      <w:r w:rsidR="00624FA4">
        <w:t xml:space="preserve"> firm offers on what is available. </w:t>
      </w:r>
      <w:r w:rsidR="00022805">
        <w:t xml:space="preserve">Thank-you gifts can be made by giving unexpected vouchers </w:t>
      </w:r>
      <w:r w:rsidR="006C5759">
        <w:t>(arranged through the Research Coordinator)</w:t>
      </w:r>
      <w:r w:rsidR="00022805">
        <w:t>. These can be purchased for any company. Amazon and supermarket vouchers</w:t>
      </w:r>
      <w:r w:rsidR="00056E6C">
        <w:t xml:space="preserve"> (</w:t>
      </w:r>
      <w:proofErr w:type="gramStart"/>
      <w:r w:rsidR="00056E6C">
        <w:t>e.g.</w:t>
      </w:r>
      <w:proofErr w:type="gramEnd"/>
      <w:r w:rsidR="00056E6C">
        <w:t xml:space="preserve"> Love2Shop)</w:t>
      </w:r>
      <w:r w:rsidR="00022805">
        <w:t xml:space="preserve"> </w:t>
      </w:r>
      <w:r w:rsidR="0055262D">
        <w:t xml:space="preserve">are commonly </w:t>
      </w:r>
      <w:r w:rsidR="00022805">
        <w:t xml:space="preserve">used for these purposes. If this </w:t>
      </w:r>
      <w:r w:rsidR="00022805" w:rsidRPr="006C5759">
        <w:t>option is used</w:t>
      </w:r>
      <w:r w:rsidR="0055262D">
        <w:t>,</w:t>
      </w:r>
      <w:r w:rsidR="00022805" w:rsidRPr="006C5759">
        <w:t xml:space="preserve"> </w:t>
      </w:r>
      <w:r w:rsidR="00022805" w:rsidRPr="004C6272">
        <w:rPr>
          <w:bCs/>
        </w:rPr>
        <w:t xml:space="preserve">the </w:t>
      </w:r>
      <w:r w:rsidR="0055262D">
        <w:rPr>
          <w:bCs/>
        </w:rPr>
        <w:t xml:space="preserve">recipient </w:t>
      </w:r>
      <w:r w:rsidR="00022805" w:rsidRPr="004C6272">
        <w:rPr>
          <w:bCs/>
        </w:rPr>
        <w:t>should not be aware that they will be in receipt of this gift until after they have contributed to the research</w:t>
      </w:r>
      <w:r w:rsidR="00056E6C">
        <w:rPr>
          <w:bCs/>
        </w:rPr>
        <w:t xml:space="preserve"> activity</w:t>
      </w:r>
      <w:r w:rsidR="00022805" w:rsidRPr="004C6272">
        <w:rPr>
          <w:bCs/>
        </w:rPr>
        <w:t xml:space="preserve">. </w:t>
      </w:r>
    </w:p>
    <w:p w14:paraId="5C42DB9C" w14:textId="588CCB37" w:rsidR="006572AF" w:rsidRDefault="00022805" w:rsidP="00056E6C">
      <w:pPr>
        <w:pStyle w:val="ListParagraph"/>
        <w:ind w:left="0"/>
      </w:pPr>
      <w:r w:rsidRPr="006C5759">
        <w:t xml:space="preserve">Additionally, the amounts should be small </w:t>
      </w:r>
      <w:r w:rsidRPr="00687158">
        <w:rPr>
          <w:i/>
        </w:rPr>
        <w:t>one offs</w:t>
      </w:r>
      <w:r w:rsidRPr="006C5759">
        <w:t xml:space="preserve"> and cannot be given to anyone already employed by Lancaster University. </w:t>
      </w:r>
      <w:r w:rsidRPr="004C6272">
        <w:rPr>
          <w:bCs/>
        </w:rPr>
        <w:t xml:space="preserve">People paid via engagement contracts are classed as employees at Lancaster </w:t>
      </w:r>
      <w:r w:rsidR="005712EC">
        <w:t>University</w:t>
      </w:r>
      <w:r w:rsidRPr="006C5759">
        <w:t>. The vouchers should never be used to renumerate individuals for their time, as per the financial regulations.</w:t>
      </w:r>
    </w:p>
    <w:p w14:paraId="34A36619" w14:textId="7B90959C" w:rsidR="0035647E" w:rsidRPr="0035647E" w:rsidRDefault="0035647E">
      <w:pPr>
        <w:rPr>
          <w:b/>
          <w:u w:val="single"/>
        </w:rPr>
      </w:pPr>
    </w:p>
    <w:p w14:paraId="74C87B47" w14:textId="1B2CE6C2" w:rsidR="0035647E" w:rsidRPr="0035647E" w:rsidRDefault="0035647E" w:rsidP="000451A9">
      <w:pPr>
        <w:pStyle w:val="Heading2"/>
      </w:pPr>
      <w:r w:rsidRPr="0035647E">
        <w:t>Summary</w:t>
      </w:r>
    </w:p>
    <w:p w14:paraId="5964CCAC" w14:textId="38A3A890" w:rsidR="00022805" w:rsidRPr="00022805" w:rsidRDefault="006572AF" w:rsidP="0035647E">
      <w:pPr>
        <w:shd w:val="clear" w:color="auto" w:fill="FFFFFF"/>
        <w:rPr>
          <w:b/>
          <w:bCs/>
        </w:rPr>
      </w:pPr>
      <w:r w:rsidRPr="006572AF">
        <w:rPr>
          <w:color w:val="000000"/>
        </w:rPr>
        <w:t>In summary, people already employed by Lancaster University or people on engagement contracts cannot receive out of pocket</w:t>
      </w:r>
      <w:r w:rsidR="000451A9">
        <w:rPr>
          <w:color w:val="000000"/>
        </w:rPr>
        <w:t xml:space="preserve"> and/or travel</w:t>
      </w:r>
      <w:r w:rsidRPr="006572AF">
        <w:rPr>
          <w:color w:val="000000"/>
        </w:rPr>
        <w:t xml:space="preserve"> expenses. People receiving a 'thank you' gift are able to claim out of pocket expenses, in addition to their 'thank you' voucher.'</w:t>
      </w:r>
      <w:r w:rsidR="0035647E">
        <w:rPr>
          <w:color w:val="000000"/>
        </w:rPr>
        <w:t xml:space="preserve"> </w:t>
      </w:r>
      <w:r w:rsidR="00022805">
        <w:t>If you have any queries about the above processes, please contact the Research Coordinator in the first instance.</w:t>
      </w:r>
      <w:r w:rsidR="00022805">
        <w:rPr>
          <w:b/>
          <w:bCs/>
        </w:rPr>
        <w:t xml:space="preserve"> </w:t>
      </w:r>
    </w:p>
    <w:sectPr w:rsidR="00022805" w:rsidRPr="00022805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D688" w14:textId="77777777" w:rsidR="0022032D" w:rsidRDefault="0022032D" w:rsidP="004C6272">
      <w:pPr>
        <w:spacing w:after="0" w:line="240" w:lineRule="auto"/>
      </w:pPr>
      <w:r>
        <w:separator/>
      </w:r>
    </w:p>
  </w:endnote>
  <w:endnote w:type="continuationSeparator" w:id="0">
    <w:p w14:paraId="251588D5" w14:textId="77777777" w:rsidR="0022032D" w:rsidRDefault="0022032D" w:rsidP="004C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6A5A" w14:textId="58B38CBB" w:rsidR="004C6272" w:rsidRDefault="004C6272">
    <w:pPr>
      <w:pStyle w:val="Footer"/>
    </w:pPr>
    <w:r>
      <w:t>Version 1.</w:t>
    </w:r>
    <w:r w:rsidR="00D749CB">
      <w:t>4</w:t>
    </w:r>
    <w:r>
      <w:t xml:space="preserve"> </w:t>
    </w:r>
    <w:r w:rsidR="00D47644">
      <w:t>10</w:t>
    </w:r>
    <w:r>
      <w:t>/</w:t>
    </w:r>
    <w:r w:rsidR="001F6005">
      <w:t>0</w:t>
    </w:r>
    <w:r w:rsidR="003A22F3">
      <w:t>2</w:t>
    </w:r>
    <w:r>
      <w:t>/2</w:t>
    </w:r>
    <w:r w:rsidR="001F600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3119" w14:textId="77777777" w:rsidR="0022032D" w:rsidRDefault="0022032D" w:rsidP="004C6272">
      <w:pPr>
        <w:spacing w:after="0" w:line="240" w:lineRule="auto"/>
      </w:pPr>
      <w:r>
        <w:separator/>
      </w:r>
    </w:p>
  </w:footnote>
  <w:footnote w:type="continuationSeparator" w:id="0">
    <w:p w14:paraId="0C0ECE07" w14:textId="77777777" w:rsidR="0022032D" w:rsidRDefault="0022032D" w:rsidP="004C6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02C9"/>
    <w:multiLevelType w:val="hybridMultilevel"/>
    <w:tmpl w:val="0464A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5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61"/>
    <w:rsid w:val="0000400F"/>
    <w:rsid w:val="00022805"/>
    <w:rsid w:val="000451A9"/>
    <w:rsid w:val="00056E6C"/>
    <w:rsid w:val="000639CD"/>
    <w:rsid w:val="0009204F"/>
    <w:rsid w:val="000F4442"/>
    <w:rsid w:val="001169FE"/>
    <w:rsid w:val="001469E0"/>
    <w:rsid w:val="00185175"/>
    <w:rsid w:val="001B0D47"/>
    <w:rsid w:val="001F6005"/>
    <w:rsid w:val="0022032D"/>
    <w:rsid w:val="002F3597"/>
    <w:rsid w:val="00307229"/>
    <w:rsid w:val="0035647E"/>
    <w:rsid w:val="00381AA1"/>
    <w:rsid w:val="003A22F3"/>
    <w:rsid w:val="003B4FEA"/>
    <w:rsid w:val="004036D5"/>
    <w:rsid w:val="004C1ECA"/>
    <w:rsid w:val="004C4BF2"/>
    <w:rsid w:val="004C6272"/>
    <w:rsid w:val="004F147D"/>
    <w:rsid w:val="00513327"/>
    <w:rsid w:val="0054388C"/>
    <w:rsid w:val="0055262D"/>
    <w:rsid w:val="00555514"/>
    <w:rsid w:val="00560A00"/>
    <w:rsid w:val="00564712"/>
    <w:rsid w:val="005712EC"/>
    <w:rsid w:val="005D286C"/>
    <w:rsid w:val="006240F2"/>
    <w:rsid w:val="00624FA4"/>
    <w:rsid w:val="006313E3"/>
    <w:rsid w:val="006572AF"/>
    <w:rsid w:val="00675D72"/>
    <w:rsid w:val="0068086A"/>
    <w:rsid w:val="00687158"/>
    <w:rsid w:val="006A7533"/>
    <w:rsid w:val="006C5759"/>
    <w:rsid w:val="006D24CC"/>
    <w:rsid w:val="006F6224"/>
    <w:rsid w:val="00723196"/>
    <w:rsid w:val="007555F8"/>
    <w:rsid w:val="00796691"/>
    <w:rsid w:val="00807063"/>
    <w:rsid w:val="0089126E"/>
    <w:rsid w:val="00897561"/>
    <w:rsid w:val="00924ED5"/>
    <w:rsid w:val="00927886"/>
    <w:rsid w:val="00941F4F"/>
    <w:rsid w:val="009A2E65"/>
    <w:rsid w:val="00A4007C"/>
    <w:rsid w:val="00A5002A"/>
    <w:rsid w:val="00A54932"/>
    <w:rsid w:val="00AD649E"/>
    <w:rsid w:val="00BE2BB0"/>
    <w:rsid w:val="00C649B1"/>
    <w:rsid w:val="00C762E0"/>
    <w:rsid w:val="00CC417B"/>
    <w:rsid w:val="00CF0E56"/>
    <w:rsid w:val="00D47644"/>
    <w:rsid w:val="00D749CB"/>
    <w:rsid w:val="00DC017B"/>
    <w:rsid w:val="00DE6857"/>
    <w:rsid w:val="00E367EE"/>
    <w:rsid w:val="00E5322B"/>
    <w:rsid w:val="00EA7C74"/>
    <w:rsid w:val="00EE65A6"/>
    <w:rsid w:val="00F43330"/>
    <w:rsid w:val="00F6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091E"/>
  <w15:chartTrackingRefBased/>
  <w15:docId w15:val="{C8811FC9-F4A6-4D12-9D25-7FD03E2B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7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5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5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272"/>
  </w:style>
  <w:style w:type="paragraph" w:styleId="Footer">
    <w:name w:val="footer"/>
    <w:basedOn w:val="Normal"/>
    <w:link w:val="FooterChar"/>
    <w:uiPriority w:val="99"/>
    <w:unhideWhenUsed/>
    <w:rsid w:val="004C6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272"/>
  </w:style>
  <w:style w:type="character" w:styleId="Hyperlink">
    <w:name w:val="Hyperlink"/>
    <w:basedOn w:val="DefaultParagraphFont"/>
    <w:uiPriority w:val="99"/>
    <w:unhideWhenUsed/>
    <w:rsid w:val="00381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A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32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0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68086A"/>
    <w:rPr>
      <w:b/>
      <w:bCs/>
      <w:smallCaps/>
      <w:color w:val="4472C4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6808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D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920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0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alhealthresearchmatters.org.uk/what-good-mental-health-research-look-like/inclusive-antiracist-research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mperial.ac.uk/patient-experience-research-centre/ppi/ppi-resource-hub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self-assessment-tax-retur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google.com/nihr.ac.uk/pi-standards/hom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ancaster.ac.uk/health-and-medicine/dhr/dclinpsy/lupin/" TargetMode="External"/><Relationship Id="rId10" Type="http://schemas.openxmlformats.org/officeDocument/2006/relationships/hyperlink" Target="https://www.nihr.ac.uk/documents/nihr-race-equality-framework/30388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ihr.ac.uk/documents/ppi-patient-and-public-involvement-resources-for-applicants-to-nihr-research-programmes/234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72EE7DF19FF429CFE2D6E959315FF" ma:contentTypeVersion="11" ma:contentTypeDescription="Create a new document." ma:contentTypeScope="" ma:versionID="7b138934d24c9ba9b139a82f3df4d9c8">
  <xsd:schema xmlns:xsd="http://www.w3.org/2001/XMLSchema" xmlns:xs="http://www.w3.org/2001/XMLSchema" xmlns:p="http://schemas.microsoft.com/office/2006/metadata/properties" xmlns:ns3="f5131cd0-fec8-41cf-b1c3-9b93c793b3a9" xmlns:ns4="450a1ab9-cc1d-4291-9f39-edf098cc7714" targetNamespace="http://schemas.microsoft.com/office/2006/metadata/properties" ma:root="true" ma:fieldsID="772d4b6587496a66230ede847423cdcb" ns3:_="" ns4:_="">
    <xsd:import namespace="f5131cd0-fec8-41cf-b1c3-9b93c793b3a9"/>
    <xsd:import namespace="450a1ab9-cc1d-4291-9f39-edf098cc77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31cd0-fec8-41cf-b1c3-9b93c793b3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a1ab9-cc1d-4291-9f39-edf098cc7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C26C4-40B9-4CD8-99E5-CEC689C0B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18B73-A78E-40C9-9C4A-87D0A53F7D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7F8A04-883F-4211-8544-BACF45813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31cd0-fec8-41cf-b1c3-9b93c793b3a9"/>
    <ds:schemaRef ds:uri="450a1ab9-cc1d-4291-9f39-edf098cc7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Heard, Sarah</dc:creator>
  <cp:keywords/>
  <dc:description/>
  <cp:lastModifiedBy>Duxbury, Anna</cp:lastModifiedBy>
  <cp:revision>2</cp:revision>
  <dcterms:created xsi:type="dcterms:W3CDTF">2023-07-05T09:55:00Z</dcterms:created>
  <dcterms:modified xsi:type="dcterms:W3CDTF">2023-07-05T09:55:00Z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0x010100CB772EE7DF19FF429CFE2D6E959315FF</vt:lpwstr>
  </property>
</Properties>
</file>